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sz w:val="24"/>
        </w:rPr>
      </w:pPr>
      <w:bookmarkStart w:id="0" w:name="_GoBack"/>
      <w:bookmarkEnd w:id="0"/>
      <w:r>
        <w:rPr>
          <w:rFonts w:hint="eastAsia" w:ascii="黑体" w:eastAsia="黑体"/>
          <w:sz w:val="24"/>
        </w:rPr>
        <w:t>附件一</w:t>
      </w:r>
      <w:r>
        <w:rPr>
          <w:rFonts w:ascii="黑体" w:eastAsia="黑体"/>
          <w:sz w:val="24"/>
        </w:rPr>
        <w:t>：</w:t>
      </w:r>
    </w:p>
    <w:p>
      <w:pPr>
        <w:jc w:val="center"/>
        <w:rPr>
          <w:rFonts w:hint="eastAsia" w:ascii="黑体" w:eastAsia="黑体"/>
          <w:sz w:val="32"/>
          <w:szCs w:val="32"/>
        </w:rPr>
      </w:pPr>
      <w:r>
        <w:rPr>
          <w:rFonts w:hint="eastAsia" w:ascii="黑体" w:eastAsia="黑体"/>
          <w:sz w:val="32"/>
          <w:szCs w:val="32"/>
        </w:rPr>
        <w:t>全国教育硕士专业学位优秀论文评选办法（修订版）</w:t>
      </w:r>
    </w:p>
    <w:p>
      <w:pPr>
        <w:spacing w:line="360" w:lineRule="auto"/>
        <w:jc w:val="center"/>
        <w:rPr>
          <w:rFonts w:ascii="华文楷体" w:hAnsi="华文楷体" w:eastAsia="华文楷体"/>
          <w:sz w:val="24"/>
        </w:rPr>
      </w:pPr>
      <w:r>
        <w:rPr>
          <w:rFonts w:hint="eastAsia" w:ascii="华文楷体" w:hAnsi="华文楷体" w:eastAsia="华文楷体"/>
          <w:sz w:val="24"/>
        </w:rPr>
        <w:t>（全国教育专业学位研究生教育指导委员会武汉</w:t>
      </w:r>
      <w:r>
        <w:rPr>
          <w:rFonts w:ascii="华文楷体" w:hAnsi="华文楷体" w:eastAsia="华文楷体"/>
          <w:sz w:val="24"/>
        </w:rPr>
        <w:t>年会</w:t>
      </w:r>
      <w:r>
        <w:rPr>
          <w:rFonts w:hint="eastAsia" w:ascii="华文楷体" w:hAnsi="华文楷体" w:eastAsia="华文楷体"/>
          <w:sz w:val="24"/>
        </w:rPr>
        <w:t>审议通过，2017.1.10）</w:t>
      </w:r>
    </w:p>
    <w:p>
      <w:pPr>
        <w:spacing w:line="360" w:lineRule="auto"/>
        <w:jc w:val="center"/>
        <w:rPr>
          <w:rFonts w:hint="eastAsia" w:ascii="华文楷体" w:hAnsi="华文楷体" w:eastAsia="华文楷体"/>
          <w:sz w:val="24"/>
        </w:rPr>
      </w:pPr>
    </w:p>
    <w:p>
      <w:pPr>
        <w:spacing w:line="440" w:lineRule="exact"/>
        <w:ind w:firstLine="480" w:firstLineChars="200"/>
        <w:rPr>
          <w:rFonts w:hint="eastAsia" w:ascii="宋体" w:hAnsi="宋体"/>
          <w:sz w:val="24"/>
        </w:rPr>
      </w:pPr>
      <w:r>
        <w:rPr>
          <w:rFonts w:hint="eastAsia" w:ascii="宋体" w:hAnsi="宋体"/>
          <w:sz w:val="24"/>
        </w:rPr>
        <w:t>为进一步规范全国教育硕士专业学位优秀论文评选工作，鼓励教育硕士专业学位研究生指导教师精心指导学位论文写作，不断提高教育硕士专业学位论文质量，特制定本办法。</w:t>
      </w:r>
    </w:p>
    <w:p>
      <w:pPr>
        <w:spacing w:line="440" w:lineRule="exact"/>
        <w:ind w:firstLine="480" w:firstLineChars="200"/>
        <w:rPr>
          <w:rFonts w:hint="eastAsia" w:ascii="宋体" w:hAnsi="宋体"/>
          <w:sz w:val="24"/>
        </w:rPr>
      </w:pPr>
      <w:r>
        <w:rPr>
          <w:rFonts w:hint="eastAsia" w:ascii="宋体" w:hAnsi="宋体"/>
          <w:sz w:val="24"/>
        </w:rPr>
        <w:t>一、参评论文范围</w:t>
      </w:r>
    </w:p>
    <w:p>
      <w:pPr>
        <w:spacing w:line="440" w:lineRule="exact"/>
        <w:ind w:firstLine="480" w:firstLineChars="200"/>
        <w:rPr>
          <w:rFonts w:hint="eastAsia" w:ascii="宋体" w:hAnsi="宋体"/>
          <w:sz w:val="24"/>
        </w:rPr>
      </w:pPr>
      <w:r>
        <w:rPr>
          <w:rFonts w:hint="eastAsia" w:ascii="宋体" w:hAnsi="宋体"/>
          <w:sz w:val="24"/>
        </w:rPr>
        <w:t>每年申请参评的学位论文为上年度全国教育教育硕士专位优秀论文评选评工作结束至本次评选之前通过论文答辩、获得教育硕士专业学位的各类教育硕士专业学位研究生学位论文。</w:t>
      </w:r>
    </w:p>
    <w:p>
      <w:pPr>
        <w:spacing w:line="440" w:lineRule="exact"/>
        <w:ind w:firstLine="480" w:firstLineChars="200"/>
        <w:rPr>
          <w:rFonts w:hint="eastAsia" w:ascii="宋体" w:hAnsi="宋体"/>
          <w:sz w:val="24"/>
        </w:rPr>
      </w:pPr>
      <w:r>
        <w:rPr>
          <w:rFonts w:hint="eastAsia" w:ascii="宋体" w:hAnsi="宋体"/>
          <w:sz w:val="24"/>
        </w:rPr>
        <w:t>二、参评论文要求</w:t>
      </w:r>
    </w:p>
    <w:p>
      <w:pPr>
        <w:spacing w:line="440" w:lineRule="exact"/>
        <w:ind w:firstLine="480" w:firstLineChars="200"/>
        <w:rPr>
          <w:rFonts w:hint="eastAsia" w:ascii="宋体" w:hAnsi="宋体"/>
          <w:sz w:val="24"/>
        </w:rPr>
      </w:pPr>
      <w:r>
        <w:rPr>
          <w:rFonts w:hint="eastAsia" w:ascii="宋体" w:hAnsi="宋体"/>
          <w:sz w:val="24"/>
        </w:rPr>
        <w:t>1、论文选题与所学专业领域或专业方向培养目标一致。</w:t>
      </w:r>
    </w:p>
    <w:p>
      <w:pPr>
        <w:spacing w:line="440" w:lineRule="exact"/>
        <w:ind w:firstLine="480" w:firstLineChars="200"/>
        <w:rPr>
          <w:rFonts w:hint="eastAsia" w:ascii="宋体" w:hAnsi="宋体"/>
          <w:sz w:val="24"/>
        </w:rPr>
      </w:pPr>
      <w:r>
        <w:rPr>
          <w:rFonts w:hint="eastAsia" w:ascii="宋体" w:hAnsi="宋体"/>
          <w:sz w:val="24"/>
        </w:rPr>
        <w:t>2、论文注重理论联系实际，能有效运用所学理论、方法和技术对教育实践问题进行系统、深入探索，并能提出科学合理解决问题的方案。</w:t>
      </w:r>
    </w:p>
    <w:p>
      <w:pPr>
        <w:spacing w:line="440" w:lineRule="exact"/>
        <w:ind w:firstLine="480" w:firstLineChars="200"/>
        <w:rPr>
          <w:rFonts w:hint="eastAsia" w:ascii="宋体" w:hAnsi="宋体"/>
          <w:sz w:val="24"/>
        </w:rPr>
      </w:pPr>
      <w:r>
        <w:rPr>
          <w:rFonts w:hint="eastAsia" w:ascii="宋体" w:hAnsi="宋体"/>
          <w:sz w:val="24"/>
        </w:rPr>
        <w:t>3、论文注重研究方法的科学运用，遵守学术伦理，符合学术规范。</w:t>
      </w:r>
    </w:p>
    <w:p>
      <w:pPr>
        <w:spacing w:line="440" w:lineRule="exact"/>
        <w:ind w:firstLine="480" w:firstLineChars="200"/>
        <w:rPr>
          <w:rFonts w:hint="eastAsia" w:ascii="宋体" w:hAnsi="宋体"/>
          <w:sz w:val="24"/>
        </w:rPr>
      </w:pPr>
      <w:r>
        <w:rPr>
          <w:rFonts w:hint="eastAsia" w:ascii="宋体" w:hAnsi="宋体"/>
          <w:sz w:val="24"/>
        </w:rPr>
        <w:t>4、论文评议和答辩委员会评价优良。</w:t>
      </w:r>
    </w:p>
    <w:p>
      <w:pPr>
        <w:spacing w:line="440" w:lineRule="exact"/>
        <w:ind w:firstLine="480" w:firstLineChars="200"/>
        <w:rPr>
          <w:rFonts w:hint="eastAsia" w:ascii="宋体" w:hAnsi="宋体"/>
          <w:sz w:val="24"/>
        </w:rPr>
      </w:pPr>
      <w:r>
        <w:rPr>
          <w:rFonts w:hint="eastAsia" w:ascii="宋体" w:hAnsi="宋体"/>
          <w:sz w:val="24"/>
        </w:rPr>
        <w:t>三、评选工作组织</w:t>
      </w:r>
    </w:p>
    <w:p>
      <w:pPr>
        <w:spacing w:line="440" w:lineRule="exact"/>
        <w:ind w:firstLine="480" w:firstLineChars="200"/>
        <w:rPr>
          <w:rFonts w:hint="eastAsia" w:ascii="宋体" w:hAnsi="宋体"/>
          <w:sz w:val="24"/>
        </w:rPr>
      </w:pPr>
      <w:r>
        <w:rPr>
          <w:rFonts w:hint="eastAsia" w:ascii="宋体" w:hAnsi="宋体"/>
          <w:sz w:val="24"/>
        </w:rPr>
        <w:t>1、从2017年起，每年举办全国教育教育硕士专业学位优秀论文评选。每年评选开始时间为当年7月上旬，至当年12月底结束。</w:t>
      </w:r>
    </w:p>
    <w:p>
      <w:pPr>
        <w:spacing w:line="440" w:lineRule="exact"/>
        <w:ind w:firstLine="480" w:firstLineChars="200"/>
        <w:rPr>
          <w:rFonts w:hint="eastAsia" w:ascii="宋体" w:hAnsi="宋体"/>
          <w:sz w:val="24"/>
        </w:rPr>
      </w:pPr>
      <w:r>
        <w:rPr>
          <w:rFonts w:hint="eastAsia" w:ascii="宋体" w:hAnsi="宋体"/>
          <w:sz w:val="24"/>
        </w:rPr>
        <w:t xml:space="preserve">2、由各培养院校组织初评，按参评时间范围授予教育硕士专业学位总数1%的比例向全国教育专业学位研究生教育指导委员会秘书处推荐优秀论文候选名单及相关文件资料。授予学位不足100人按100人计算。 </w:t>
      </w:r>
    </w:p>
    <w:p>
      <w:pPr>
        <w:spacing w:line="440" w:lineRule="exact"/>
        <w:ind w:firstLine="480" w:firstLineChars="200"/>
        <w:rPr>
          <w:rFonts w:hint="eastAsia" w:ascii="宋体" w:hAnsi="宋体"/>
          <w:sz w:val="24"/>
        </w:rPr>
      </w:pPr>
      <w:r>
        <w:rPr>
          <w:rFonts w:hint="eastAsia" w:ascii="宋体" w:hAnsi="宋体"/>
          <w:sz w:val="24"/>
        </w:rPr>
        <w:t>3、各培养院校应坚持标准，严格评审程序。推荐优秀论文数超过1篇的培养院校应由学位委员会分会或相关学术组织确定排序。</w:t>
      </w:r>
    </w:p>
    <w:p>
      <w:pPr>
        <w:spacing w:line="440" w:lineRule="exact"/>
        <w:ind w:firstLine="480" w:firstLineChars="200"/>
        <w:rPr>
          <w:rFonts w:hint="eastAsia" w:ascii="宋体" w:hAnsi="宋体"/>
          <w:sz w:val="24"/>
        </w:rPr>
      </w:pPr>
      <w:r>
        <w:rPr>
          <w:rFonts w:hint="eastAsia" w:ascii="宋体" w:hAnsi="宋体"/>
          <w:sz w:val="24"/>
        </w:rPr>
        <w:t>4、全国教育专业学位研究生教育指导委员会秘书处组织专家</w:t>
      </w:r>
      <w:r>
        <w:rPr>
          <w:rFonts w:hint="eastAsia" w:ascii="宋体" w:hAnsi="宋体"/>
          <w:color w:val="FF0000"/>
          <w:sz w:val="24"/>
        </w:rPr>
        <w:t>先进行</w:t>
      </w:r>
      <w:r>
        <w:rPr>
          <w:rFonts w:ascii="宋体" w:hAnsi="宋体"/>
          <w:color w:val="FF0000"/>
          <w:sz w:val="24"/>
        </w:rPr>
        <w:t>网络盲评、然后再</w:t>
      </w:r>
      <w:r>
        <w:rPr>
          <w:rFonts w:hint="eastAsia" w:ascii="宋体" w:hAnsi="宋体"/>
          <w:color w:val="FF0000"/>
          <w:sz w:val="24"/>
        </w:rPr>
        <w:t>进行会议复评</w:t>
      </w:r>
      <w:r>
        <w:rPr>
          <w:rFonts w:hint="eastAsia" w:ascii="宋体" w:hAnsi="宋体"/>
          <w:sz w:val="24"/>
        </w:rPr>
        <w:t>并公示复评结果。</w:t>
      </w:r>
    </w:p>
    <w:p>
      <w:pPr>
        <w:spacing w:line="440" w:lineRule="exact"/>
        <w:ind w:firstLine="480" w:firstLineChars="200"/>
        <w:jc w:val="left"/>
        <w:rPr>
          <w:rFonts w:ascii="宋体" w:hAnsi="宋体"/>
          <w:sz w:val="24"/>
        </w:rPr>
      </w:pPr>
      <w:r>
        <w:rPr>
          <w:rFonts w:hint="eastAsia" w:ascii="宋体" w:hAnsi="宋体"/>
          <w:sz w:val="24"/>
        </w:rPr>
        <w:t>5、全国教育专业学位研究生教育指导委员会全体会议审议通过评选结果，并予以表彰奖励。</w:t>
      </w:r>
    </w:p>
    <w:p>
      <w:pPr>
        <w:spacing w:line="440" w:lineRule="exact"/>
        <w:ind w:firstLine="480" w:firstLineChars="200"/>
        <w:jc w:val="left"/>
        <w:rPr>
          <w:rFonts w:hint="eastAsia" w:ascii="宋体" w:hAnsi="宋体"/>
          <w:sz w:val="24"/>
        </w:rPr>
      </w:pPr>
    </w:p>
    <w:p>
      <w:pPr>
        <w:ind w:firstLine="600" w:firstLineChars="200"/>
        <w:rPr>
          <w:rFonts w:hint="eastAsia" w:ascii="宋体" w:hAnsi="宋体"/>
          <w:sz w:val="24"/>
        </w:rPr>
      </w:pPr>
      <w:r>
        <w:rPr>
          <w:rFonts w:hint="eastAsia" w:ascii="黑体" w:eastAsia="黑体"/>
          <w:sz w:val="30"/>
          <w:szCs w:val="30"/>
        </w:rPr>
        <w:t xml:space="preserve">                     </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rPr>
        <w:rStyle w:val="4"/>
      </w:rPr>
      <w:fldChar w:fldCharType="begin"/>
    </w:r>
    <w:r>
      <w:rPr>
        <w:rStyle w:val="4"/>
      </w:rPr>
      <w:instrText xml:space="preserve">PAGE  </w:instrText>
    </w:r>
    <w:r>
      <w:rPr>
        <w:rStyle w:val="4"/>
      </w:rPr>
      <w:fldChar w:fldCharType="separate"/>
    </w:r>
    <w:r>
      <w:rPr>
        <w:rStyle w:val="4"/>
      </w:rPr>
      <w:t>1</w:t>
    </w:r>
    <w:r>
      <w:rPr>
        <w:rStyle w:val="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rPr>
        <w:rStyle w:val="4"/>
      </w:rPr>
      <w:fldChar w:fldCharType="begin"/>
    </w:r>
    <w:r>
      <w:rPr>
        <w:rStyle w:val="4"/>
      </w:rPr>
      <w:instrText xml:space="preserve">PAGE  </w:instrText>
    </w:r>
    <w:r>
      <w:rPr>
        <w:rStyle w:val="4"/>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521"/>
    <w:rsid w:val="000C2B5F"/>
    <w:rsid w:val="00315521"/>
    <w:rsid w:val="009051D4"/>
    <w:rsid w:val="03395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0"/>
    <w:pPr>
      <w:tabs>
        <w:tab w:val="center" w:pos="4153"/>
        <w:tab w:val="right" w:pos="8306"/>
      </w:tabs>
      <w:snapToGrid w:val="0"/>
      <w:jc w:val="left"/>
    </w:pPr>
    <w:rPr>
      <w:sz w:val="18"/>
      <w:szCs w:val="18"/>
    </w:rPr>
  </w:style>
  <w:style w:type="character" w:styleId="4">
    <w:name w:val="page number"/>
    <w:uiPriority w:val="0"/>
  </w:style>
  <w:style w:type="character" w:customStyle="1" w:styleId="6">
    <w:name w:val="页脚 Char"/>
    <w:basedOn w:val="3"/>
    <w:link w:val="2"/>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F69009-6017-40D1-AD21-8CDC2A647343}">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108</Words>
  <Characters>616</Characters>
  <Lines>5</Lines>
  <Paragraphs>1</Paragraphs>
  <TotalTime>12</TotalTime>
  <ScaleCrop>false</ScaleCrop>
  <LinksUpToDate>false</LinksUpToDate>
  <CharactersWithSpaces>723</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2017-03-14T02:20:00Z</dcterms:created>
  <dc:creator>ZGC</dc:creator>
  <cp:lastModifiedBy>未定义</cp:lastModifiedBy>
  <dcterms:modified xsi:type="dcterms:W3CDTF">2018-09-01T02:41:34Z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